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6E27E479" w14:textId="77777777" w:rsidR="004775BB" w:rsidRPr="00603C0F" w:rsidRDefault="004775BB" w:rsidP="004775BB">
      <w:pPr>
        <w:spacing w:after="0" w:line="360" w:lineRule="auto"/>
        <w:jc w:val="both"/>
        <w:rPr>
          <w:rFonts w:ascii="Tahoma" w:eastAsia="Times New Roman" w:hAnsi="Tahoma" w:cs="Narkisim"/>
          <w:b/>
          <w:bCs/>
          <w:sz w:val="36"/>
          <w:szCs w:val="36"/>
          <w:rtl/>
        </w:rPr>
      </w:pPr>
      <w:r w:rsidRPr="00603C0F">
        <w:rPr>
          <w:rFonts w:ascii="Tahoma" w:eastAsia="Times New Roman" w:hAnsi="Tahoma" w:cs="Narkisim"/>
          <w:b/>
          <w:bCs/>
          <w:sz w:val="36"/>
          <w:szCs w:val="36"/>
          <w:rtl/>
        </w:rPr>
        <w:t>פרוטוקול ישיבת הנהלה כלכלית מס' 0</w:t>
      </w:r>
      <w:r w:rsidRPr="00603C0F">
        <w:rPr>
          <w:rFonts w:ascii="Tahoma" w:eastAsia="Times New Roman" w:hAnsi="Tahoma" w:cs="Narkisim" w:hint="cs"/>
          <w:b/>
          <w:bCs/>
          <w:sz w:val="36"/>
          <w:szCs w:val="36"/>
          <w:rtl/>
        </w:rPr>
        <w:t>6</w:t>
      </w:r>
      <w:r w:rsidRPr="00603C0F">
        <w:rPr>
          <w:rFonts w:ascii="Tahoma" w:eastAsia="Times New Roman" w:hAnsi="Tahoma" w:cs="Narkisim"/>
          <w:b/>
          <w:bCs/>
          <w:sz w:val="36"/>
          <w:szCs w:val="36"/>
          <w:rtl/>
        </w:rPr>
        <w:t>.19</w:t>
      </w:r>
      <w:r w:rsidRPr="00603C0F">
        <w:rPr>
          <w:rFonts w:ascii="Tahoma" w:eastAsia="Times New Roman" w:hAnsi="Tahoma" w:cs="Narkisim" w:hint="cs"/>
          <w:b/>
          <w:bCs/>
          <w:sz w:val="36"/>
          <w:szCs w:val="36"/>
          <w:rtl/>
        </w:rPr>
        <w:t xml:space="preserve"> מ</w:t>
      </w:r>
      <w:r w:rsidRPr="00603C0F">
        <w:rPr>
          <w:rFonts w:ascii="Tahoma" w:eastAsia="Times New Roman" w:hAnsi="Tahoma" w:cs="Narkisim"/>
          <w:b/>
          <w:bCs/>
          <w:sz w:val="36"/>
          <w:szCs w:val="36"/>
          <w:rtl/>
        </w:rPr>
        <w:t xml:space="preserve">תאריך: </w:t>
      </w:r>
      <w:r w:rsidRPr="00603C0F">
        <w:rPr>
          <w:rFonts w:ascii="Tahoma" w:eastAsia="Times New Roman" w:hAnsi="Tahoma" w:cs="Narkisim" w:hint="cs"/>
          <w:b/>
          <w:bCs/>
          <w:sz w:val="36"/>
          <w:szCs w:val="36"/>
          <w:rtl/>
        </w:rPr>
        <w:t>05.05</w:t>
      </w:r>
      <w:r w:rsidRPr="00603C0F">
        <w:rPr>
          <w:rFonts w:ascii="Tahoma" w:eastAsia="Times New Roman" w:hAnsi="Tahoma" w:cs="Narkisim"/>
          <w:b/>
          <w:bCs/>
          <w:sz w:val="36"/>
          <w:szCs w:val="36"/>
          <w:rtl/>
        </w:rPr>
        <w:t>.19</w:t>
      </w:r>
    </w:p>
    <w:p w14:paraId="0B74E7A0" w14:textId="77777777" w:rsidR="004775BB" w:rsidRPr="00002D1C" w:rsidRDefault="004775BB" w:rsidP="004775BB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Narkisim"/>
          <w:sz w:val="26"/>
          <w:szCs w:val="26"/>
        </w:rPr>
      </w:pPr>
      <w:r w:rsidRPr="00002D1C">
        <w:rPr>
          <w:rFonts w:ascii="Tahoma" w:eastAsia="Times New Roman" w:hAnsi="Tahoma" w:cs="Narkisim" w:hint="cs"/>
          <w:sz w:val="26"/>
          <w:szCs w:val="26"/>
          <w:rtl/>
        </w:rPr>
        <w:t>פרוטוקול 05.19 טרם הופץ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יאושר בישיבה הבאה.</w:t>
      </w:r>
    </w:p>
    <w:p w14:paraId="1EE6ADBC" w14:textId="77777777" w:rsidR="004775BB" w:rsidRPr="00C97608" w:rsidRDefault="004775BB" w:rsidP="004775BB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Narkisim"/>
          <w:sz w:val="26"/>
          <w:szCs w:val="26"/>
          <w:u w:val="single"/>
        </w:rPr>
      </w:pPr>
      <w:r w:rsidRPr="00C97608">
        <w:rPr>
          <w:rFonts w:ascii="Tahoma" w:eastAsia="Times New Roman" w:hAnsi="Tahoma" w:cs="Narkisim" w:hint="cs"/>
          <w:b/>
          <w:bCs/>
          <w:sz w:val="28"/>
          <w:szCs w:val="28"/>
          <w:u w:val="single"/>
          <w:rtl/>
        </w:rPr>
        <w:t xml:space="preserve">המשך </w:t>
      </w:r>
      <w:r w:rsidRPr="00C97608">
        <w:rPr>
          <w:rFonts w:ascii="Tahoma" w:eastAsia="Times New Roman" w:hAnsi="Tahoma" w:cs="Narkisim"/>
          <w:b/>
          <w:bCs/>
          <w:sz w:val="28"/>
          <w:szCs w:val="28"/>
          <w:u w:val="single"/>
          <w:rtl/>
        </w:rPr>
        <w:t>סיכום תמחירי</w:t>
      </w:r>
      <w:r w:rsidRPr="00C97608">
        <w:rPr>
          <w:rFonts w:ascii="Tahoma" w:eastAsia="Times New Roman" w:hAnsi="Tahoma" w:cs="Narkisim" w:hint="cs"/>
          <w:b/>
          <w:bCs/>
          <w:sz w:val="28"/>
          <w:szCs w:val="28"/>
          <w:u w:val="single"/>
          <w:rtl/>
        </w:rPr>
        <w:t xml:space="preserve"> </w:t>
      </w:r>
      <w:r w:rsidRPr="00C97608">
        <w:rPr>
          <w:rFonts w:ascii="Tahoma" w:eastAsia="Times New Roman" w:hAnsi="Tahoma" w:cs="Narkisim"/>
          <w:b/>
          <w:bCs/>
          <w:sz w:val="28"/>
          <w:szCs w:val="28"/>
          <w:u w:val="single"/>
          <w:rtl/>
        </w:rPr>
        <w:t>2018</w:t>
      </w:r>
      <w:r w:rsidRPr="00C97608">
        <w:rPr>
          <w:rFonts w:ascii="Tahoma" w:eastAsia="Times New Roman" w:hAnsi="Tahoma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ahoma" w:eastAsia="Times New Roman" w:hAnsi="Tahoma" w:cs="Narkisim"/>
          <w:b/>
          <w:bCs/>
          <w:sz w:val="28"/>
          <w:szCs w:val="28"/>
          <w:u w:val="single"/>
          <w:rtl/>
        </w:rPr>
        <w:t>–</w:t>
      </w:r>
      <w:r>
        <w:rPr>
          <w:rFonts w:ascii="Tahoma" w:eastAsia="Times New Roman" w:hAnsi="Tahoma" w:cs="Narkisim" w:hint="cs"/>
          <w:b/>
          <w:bCs/>
          <w:sz w:val="28"/>
          <w:szCs w:val="28"/>
          <w:u w:val="single"/>
          <w:rtl/>
        </w:rPr>
        <w:t xml:space="preserve"> </w:t>
      </w:r>
      <w:r w:rsidRPr="00C97608">
        <w:rPr>
          <w:rFonts w:ascii="Tahoma" w:eastAsia="Times New Roman" w:hAnsi="Tahoma" w:cs="Narkisim" w:hint="cs"/>
          <w:b/>
          <w:bCs/>
          <w:sz w:val="28"/>
          <w:szCs w:val="28"/>
          <w:u w:val="single"/>
          <w:rtl/>
        </w:rPr>
        <w:t>ענף המטעים</w:t>
      </w:r>
    </w:p>
    <w:p w14:paraId="12A3B926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אבוקדו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מחיר נמוך מהתכנון לעומת יבול גבוה מהתכנון. פער משמעותי גם מול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האומדן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. פער במחיר המים. 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נדרש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לבדוק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את 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הפער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בהוצאות</w:t>
      </w:r>
      <w:r w:rsidRPr="00002D1C">
        <w:rPr>
          <w:rFonts w:ascii="Tahoma" w:eastAsia="Times New Roman" w:hAnsi="Tahoma" w:cs="Narkisim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הקטיף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.</w:t>
      </w:r>
    </w:p>
    <w:p w14:paraId="2E02B4F5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אשכוליות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מחיר ממוצע נמוך (0.95) משקלל את כל המינים (לבן/אדום ותעשי</w:t>
      </w:r>
      <w:r>
        <w:rPr>
          <w:rFonts w:ascii="Tahoma" w:eastAsia="Times New Roman" w:hAnsi="Tahoma" w:cs="Narkisim" w:hint="cs"/>
          <w:sz w:val="26"/>
          <w:szCs w:val="26"/>
          <w:rtl/>
        </w:rPr>
        <w:t>י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ה)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יבול נמוך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מהתכנית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בגלל בעיות בפריחה ובחנטה שאפיינו את העונה. הוגש ערעור על המחיר</w:t>
      </w:r>
      <w:r>
        <w:rPr>
          <w:rFonts w:ascii="Tahoma" w:eastAsia="Times New Roman" w:hAnsi="Tahoma" w:cs="Narkisim" w:hint="cs"/>
          <w:sz w:val="26"/>
          <w:szCs w:val="26"/>
          <w:rtl/>
        </w:rPr>
        <w:t>,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וקיבלנו תוספות.</w:t>
      </w:r>
    </w:p>
    <w:p w14:paraId="38E4DFCA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לימון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משבר מחירים כללי בגלל עודף נטיעות. נדרש</w:t>
      </w:r>
      <w:r>
        <w:rPr>
          <w:rFonts w:ascii="Tahoma" w:eastAsia="Times New Roman" w:hAnsi="Tahoma" w:cs="Narkisim" w:hint="cs"/>
          <w:sz w:val="26"/>
          <w:szCs w:val="26"/>
          <w:rtl/>
        </w:rPr>
        <w:t>ו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ת סבלנות והכנת תכנית מגירה להרכבת מין אחר בעת הצורך.</w:t>
      </w:r>
    </w:p>
    <w:p w14:paraId="3F6A187B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כרם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יבול גבוה והכנסה מובטחת. תוצאות כלכליות טובות, התייעלו</w:t>
      </w:r>
      <w:r w:rsidRPr="00002D1C">
        <w:rPr>
          <w:rFonts w:ascii="Tahoma" w:eastAsia="Times New Roman" w:hAnsi="Tahoma" w:cs="Narkisim" w:hint="eastAsia"/>
          <w:sz w:val="26"/>
          <w:szCs w:val="26"/>
          <w:rtl/>
        </w:rPr>
        <w:t>ת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בהוצאות.</w:t>
      </w:r>
    </w:p>
    <w:p w14:paraId="643A0730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זיתים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ענף ס</w:t>
      </w:r>
      <w:r>
        <w:rPr>
          <w:rFonts w:ascii="Tahoma" w:eastAsia="Times New Roman" w:hAnsi="Tahoma" w:cs="Narkisim" w:hint="cs"/>
          <w:sz w:val="26"/>
          <w:szCs w:val="26"/>
          <w:rtl/>
        </w:rPr>
        <w:t>י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רוגי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2018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הייתה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שנת </w:t>
      </w:r>
      <w:r w:rsidRPr="00603C0F">
        <w:rPr>
          <w:rFonts w:asciiTheme="majorBidi" w:eastAsia="Times New Roman" w:hAnsiTheme="majorBidi" w:cstheme="majorBidi"/>
        </w:rPr>
        <w:t>off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 w:hint="cs"/>
          <w:sz w:val="26"/>
          <w:szCs w:val="26"/>
          <w:rtl/>
        </w:rPr>
        <w:t>ש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כמעט </w:t>
      </w:r>
      <w:r>
        <w:rPr>
          <w:rFonts w:ascii="Tahoma" w:eastAsia="Times New Roman" w:hAnsi="Tahoma" w:cs="Narkisim" w:hint="cs"/>
          <w:sz w:val="26"/>
          <w:szCs w:val="26"/>
          <w:rtl/>
        </w:rPr>
        <w:t>עמדה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בתכנית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ההכנסות בזכות פיצוי </w:t>
      </w:r>
      <w:r>
        <w:rPr>
          <w:rFonts w:ascii="Tahoma" w:eastAsia="Times New Roman" w:hAnsi="Tahoma" w:cs="Narkisim" w:hint="cs"/>
          <w:sz w:val="26"/>
          <w:szCs w:val="26"/>
          <w:rtl/>
        </w:rPr>
        <w:t>הקרן לנזקי טבע,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 w:hint="cs"/>
          <w:sz w:val="26"/>
          <w:szCs w:val="26"/>
          <w:rtl/>
        </w:rPr>
        <w:t>עובדה 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מביא</w:t>
      </w:r>
      <w:r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להפסד נמוך </w:t>
      </w:r>
      <w:r>
        <w:rPr>
          <w:rFonts w:ascii="Tahoma" w:eastAsia="Times New Roman" w:hAnsi="Tahoma" w:cs="Narkisim" w:hint="cs"/>
          <w:sz w:val="26"/>
          <w:szCs w:val="26"/>
          <w:rtl/>
        </w:rPr>
        <w:t>ול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תוצאה טובה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מהתכנית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>.</w:t>
      </w:r>
    </w:p>
    <w:p w14:paraId="2132BAD8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שקדים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שנת יבול קשה מאוד (ברמה </w:t>
      </w:r>
      <w:r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ארצית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אצלנו פחות מ-50%), </w:t>
      </w:r>
      <w:r>
        <w:rPr>
          <w:rFonts w:ascii="Tahoma" w:eastAsia="Times New Roman" w:hAnsi="Tahoma" w:cs="Narkisim" w:hint="cs"/>
          <w:sz w:val="26"/>
          <w:szCs w:val="26"/>
          <w:rtl/>
        </w:rPr>
        <w:t>ו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המחירים גבוהים בהתאם. יתרה שלילית לעומת רווח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בתכנית</w:t>
      </w:r>
      <w:proofErr w:type="spellEnd"/>
      <w:r>
        <w:rPr>
          <w:rFonts w:ascii="Tahoma" w:eastAsia="Times New Roman" w:hAnsi="Tahoma" w:cs="Narkisim" w:hint="cs"/>
          <w:sz w:val="26"/>
          <w:szCs w:val="26"/>
          <w:rtl/>
        </w:rPr>
        <w:t xml:space="preserve">.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הפער הכולל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800 א</w:t>
      </w:r>
      <w:r>
        <w:rPr>
          <w:rFonts w:ascii="Tahoma" w:eastAsia="Times New Roman" w:hAnsi="Tahoma" w:cs="Narkisim" w:hint="cs"/>
          <w:sz w:val="26"/>
          <w:szCs w:val="26"/>
          <w:rtl/>
        </w:rPr>
        <w:t>לף ₪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. הפער מהאומדן נובע מהנחה שגויה </w:t>
      </w:r>
      <w:r>
        <w:rPr>
          <w:rFonts w:ascii="Tahoma" w:eastAsia="Times New Roman" w:hAnsi="Tahoma" w:cs="Narkisim" w:hint="cs"/>
          <w:sz w:val="26"/>
          <w:szCs w:val="26"/>
          <w:rtl/>
        </w:rPr>
        <w:t>באשר ל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היקף הפיצוי.</w:t>
      </w:r>
    </w:p>
    <w:p w14:paraId="3236B45B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גד"ש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מאוזן.</w:t>
      </w:r>
    </w:p>
    <w:p w14:paraId="77B1D043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603C0F">
        <w:rPr>
          <w:rFonts w:ascii="Tahoma" w:eastAsia="Times New Roman" w:hAnsi="Tahoma" w:cs="Narkisim" w:hint="cs"/>
          <w:sz w:val="26"/>
          <w:szCs w:val="26"/>
          <w:u w:val="single"/>
          <w:rtl/>
        </w:rPr>
        <w:t>מנהלת עסק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עמידה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בתכנית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>.</w:t>
      </w:r>
    </w:p>
    <w:p w14:paraId="7B8F85EF" w14:textId="77777777" w:rsidR="004775BB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eastAsia"/>
          <w:sz w:val="26"/>
          <w:szCs w:val="26"/>
          <w:u w:val="single"/>
          <w:rtl/>
        </w:rPr>
        <w:t>סוכם</w:t>
      </w:r>
      <w:r w:rsidRPr="00002D1C">
        <w:rPr>
          <w:rFonts w:ascii="Tahoma" w:eastAsia="Times New Roman" w:hAnsi="Tahoma" w:cs="Narkisim"/>
          <w:sz w:val="26"/>
          <w:szCs w:val="26"/>
          <w:u w:val="single"/>
          <w:rtl/>
        </w:rPr>
        <w:t>: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לאור תוצאות 2018, צוות משותף של </w:t>
      </w:r>
      <w:r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הנהלה </w:t>
      </w:r>
      <w:r>
        <w:rPr>
          <w:rFonts w:ascii="Tahoma" w:eastAsia="Times New Roman" w:hAnsi="Tahoma" w:cs="Narkisim" w:hint="cs"/>
          <w:sz w:val="26"/>
          <w:szCs w:val="26"/>
          <w:rtl/>
        </w:rPr>
        <w:t>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כלכלית וועד ההנהלה יבחן את התמונה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התמחירית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והפיננסית הכוללת של דגניה ו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את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היכולת לעמוד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בתכניות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ההשקעה השונות.</w:t>
      </w:r>
    </w:p>
    <w:tbl>
      <w:tblPr>
        <w:tblpPr w:leftFromText="180" w:rightFromText="180" w:vertAnchor="text" w:horzAnchor="margin" w:tblpXSpec="center" w:tblpY="14"/>
        <w:bidiVisual/>
        <w:tblW w:w="7157" w:type="dxa"/>
        <w:tblLook w:val="04A0" w:firstRow="1" w:lastRow="0" w:firstColumn="1" w:lastColumn="0" w:noHBand="0" w:noVBand="1"/>
      </w:tblPr>
      <w:tblGrid>
        <w:gridCol w:w="9"/>
        <w:gridCol w:w="263"/>
        <w:gridCol w:w="301"/>
        <w:gridCol w:w="272"/>
        <w:gridCol w:w="272"/>
        <w:gridCol w:w="2116"/>
        <w:gridCol w:w="10"/>
        <w:gridCol w:w="969"/>
        <w:gridCol w:w="10"/>
        <w:gridCol w:w="969"/>
        <w:gridCol w:w="10"/>
        <w:gridCol w:w="969"/>
        <w:gridCol w:w="10"/>
        <w:gridCol w:w="977"/>
      </w:tblGrid>
      <w:tr w:rsidR="004775BB" w:rsidRPr="00952A47" w14:paraId="6C217F44" w14:textId="77777777" w:rsidTr="001408A3">
        <w:trPr>
          <w:trHeight w:val="274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BBB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10554481"/>
          </w:p>
          <w:tbl>
            <w:tblPr>
              <w:bidiVisual/>
              <w:tblW w:w="0" w:type="auto"/>
              <w:tblCellSpacing w:w="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775BB" w:rsidRPr="00952A47" w14:paraId="4A51906D" w14:textId="77777777" w:rsidTr="001408A3">
              <w:trPr>
                <w:trHeight w:val="274"/>
                <w:tblCellSpacing w:w="0" w:type="dxa"/>
              </w:trPr>
              <w:tc>
                <w:tcPr>
                  <w:tcW w:w="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CCCCFF"/>
                  <w:hideMark/>
                </w:tcPr>
                <w:p w14:paraId="6DBEC327" w14:textId="77777777" w:rsidR="004775BB" w:rsidRPr="00952A47" w:rsidRDefault="004775BB" w:rsidP="001408A3">
                  <w:pPr>
                    <w:framePr w:hSpace="180" w:wrap="around" w:vAnchor="text" w:hAnchor="margin" w:xAlign="center" w:y="14"/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952A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61E76BF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9BE4C5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484507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310E14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CCCCFF"/>
            <w:hideMark/>
          </w:tcPr>
          <w:p w14:paraId="399ED255" w14:textId="77777777" w:rsidR="004775BB" w:rsidRPr="00952A47" w:rsidRDefault="004775BB" w:rsidP="00140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1CF7DE8D" w14:textId="77777777" w:rsidR="004775BB" w:rsidRPr="00952A47" w:rsidRDefault="004775BB" w:rsidP="00140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יתרה לפני דמי מחזור</w:t>
            </w:r>
          </w:p>
        </w:tc>
      </w:tr>
      <w:tr w:rsidR="004775BB" w:rsidRPr="00952A47" w14:paraId="2C5B1485" w14:textId="77777777" w:rsidTr="001408A3">
        <w:trPr>
          <w:gridBefore w:val="1"/>
          <w:wBefore w:w="9" w:type="dxa"/>
          <w:trHeight w:val="641"/>
        </w:trPr>
        <w:tc>
          <w:tcPr>
            <w:tcW w:w="3234" w:type="dxa"/>
            <w:gridSpan w:val="6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CCCCFF"/>
            <w:vAlign w:val="bottom"/>
            <w:hideMark/>
          </w:tcPr>
          <w:p w14:paraId="5C1C4ECF" w14:textId="77777777" w:rsidR="004775BB" w:rsidRPr="00952A47" w:rsidRDefault="004775BB" w:rsidP="00140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ענף/מגזר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CCCCFF"/>
            <w:hideMark/>
          </w:tcPr>
          <w:p w14:paraId="450845D2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ביצוע 2018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CCCCFF"/>
            <w:hideMark/>
          </w:tcPr>
          <w:p w14:paraId="696B7555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תכנית 2018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CCCCFF"/>
            <w:hideMark/>
          </w:tcPr>
          <w:p w14:paraId="5A813B3C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אומדן 2018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CCCCFF"/>
            <w:hideMark/>
          </w:tcPr>
          <w:p w14:paraId="2ACA4237" w14:textId="77777777" w:rsidR="004775BB" w:rsidRPr="00952A47" w:rsidRDefault="004775BB" w:rsidP="00140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ביצוע 2017</w:t>
            </w:r>
          </w:p>
        </w:tc>
      </w:tr>
      <w:tr w:rsidR="004775BB" w:rsidRPr="00952A47" w14:paraId="45DFE338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D2EF24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D1278D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B1EC0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3CB7A26D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לבננות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F150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1,410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76B5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941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1CC2F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1,221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5A1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2,114 </w:t>
            </w:r>
          </w:p>
        </w:tc>
      </w:tr>
      <w:tr w:rsidR="004775BB" w:rsidRPr="00952A47" w14:paraId="11F997F2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1CC46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FA7237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097994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088A16AF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לתמרים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4EAFA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(610)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74386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303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6493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(197)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AAA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(1,433)</w:t>
            </w:r>
          </w:p>
        </w:tc>
      </w:tr>
      <w:tr w:rsidR="004775BB" w:rsidRPr="00952A47" w14:paraId="2657A196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46D92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C04CC5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20CB8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582DA9CD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למטעים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805B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1,417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F70E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2,967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B35D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2,158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76E9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5,020 </w:t>
            </w:r>
          </w:p>
        </w:tc>
      </w:tr>
      <w:tr w:rsidR="004775BB" w:rsidRPr="00952A47" w14:paraId="3568B585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DEC246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CFB58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74859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0E35C182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לגידולי שדה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D4EED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15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D9A48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125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88AA8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237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CED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266 </w:t>
            </w:r>
          </w:p>
        </w:tc>
      </w:tr>
      <w:tr w:rsidR="004775BB" w:rsidRPr="00952A47" w14:paraId="1620B9E5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0877A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8E1F37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45FAD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2AB5D9F0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ללול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6840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146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B326ED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88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E9490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84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B5A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346 </w:t>
            </w:r>
          </w:p>
        </w:tc>
      </w:tr>
      <w:tr w:rsidR="004775BB" w:rsidRPr="00952A47" w14:paraId="6AFC89BF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0883CF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97A11B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50C4654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62F2C85B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לרפת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D42A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1,988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3F9D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2,085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C52EF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2,039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61A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2,339 </w:t>
            </w:r>
          </w:p>
        </w:tc>
      </w:tr>
      <w:tr w:rsidR="004775BB" w:rsidRPr="00952A47" w14:paraId="5B479D14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D54ED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F001B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14:paraId="2E7E4F1A" w14:textId="77777777" w:rsidR="004775BB" w:rsidRPr="00952A47" w:rsidRDefault="004775BB" w:rsidP="001408A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לחקלאות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3EAD63D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4,366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1CDB652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6,510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27C4584B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5,542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7C07E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8,652 </w:t>
            </w:r>
          </w:p>
        </w:tc>
      </w:tr>
      <w:tr w:rsidR="004775BB" w:rsidRPr="00952A47" w14:paraId="28E08561" w14:textId="77777777" w:rsidTr="001408A3">
        <w:trPr>
          <w:trHeight w:val="22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61EDA4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E6A39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31DB63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E4FD6D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1CDB3270" w14:textId="77777777" w:rsidR="004775BB" w:rsidRPr="00952A47" w:rsidRDefault="004775BB" w:rsidP="001408A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תיירות בדגניה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C57C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4E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(74)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EC2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3F2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(90)</w:t>
            </w:r>
          </w:p>
        </w:tc>
      </w:tr>
      <w:tr w:rsidR="004775BB" w:rsidRPr="00952A47" w14:paraId="00B7FA91" w14:textId="77777777" w:rsidTr="001408A3">
        <w:trPr>
          <w:trHeight w:val="22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69A08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73FF6B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E7BF1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9B9B1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7098CBB7" w14:textId="77777777" w:rsidR="004775BB" w:rsidRPr="00952A47" w:rsidRDefault="004775BB" w:rsidP="001408A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חנות </w:t>
            </w:r>
            <w:proofErr w:type="spellStart"/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תירות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4F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5F6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1FD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(127)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05A9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(84)</w:t>
            </w:r>
          </w:p>
        </w:tc>
      </w:tr>
      <w:tr w:rsidR="004775BB" w:rsidRPr="00952A47" w14:paraId="3C0E4584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D143BC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C47315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23CC456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004504DE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לתיירות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8622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(3)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A8A7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E01D0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(126)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746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(173)</w:t>
            </w:r>
          </w:p>
        </w:tc>
      </w:tr>
      <w:tr w:rsidR="004775BB" w:rsidRPr="00952A47" w14:paraId="6A688870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8DAD1A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36713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A35D9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2549823B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ליצרני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5E34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(39)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C1BF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(9)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8B28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(90)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FE46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(96)</w:t>
            </w:r>
          </w:p>
        </w:tc>
      </w:tr>
      <w:tr w:rsidR="004775BB" w:rsidRPr="00952A47" w14:paraId="34EFA93A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4715B1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17FB7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6C161D94" w14:textId="77777777" w:rsidR="004775BB" w:rsidRPr="00952A47" w:rsidRDefault="004775BB" w:rsidP="001408A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ליצרני אחר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9967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(41)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D91F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(15)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5A8EB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(216)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005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(269)</w:t>
            </w:r>
          </w:p>
        </w:tc>
      </w:tr>
      <w:tr w:rsidR="004775BB" w:rsidRPr="00952A47" w14:paraId="0E4C418C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3BE2B8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975A614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71230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1C5ACF77" w14:textId="77777777" w:rsidR="004775BB" w:rsidRPr="00952A47" w:rsidRDefault="004775BB" w:rsidP="001408A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למנהל עסק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5D9FA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(2,081)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182C2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(2,395)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3AAD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(1,894)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E00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(5,219)</w:t>
            </w:r>
          </w:p>
        </w:tc>
      </w:tr>
      <w:tr w:rsidR="004775BB" w:rsidRPr="00952A47" w14:paraId="4537A261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7B3DC7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FDAB52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CCFFCC"/>
            <w:noWrap/>
            <w:vAlign w:val="bottom"/>
            <w:hideMark/>
          </w:tcPr>
          <w:p w14:paraId="36A25330" w14:textId="77777777" w:rsidR="004775BB" w:rsidRPr="00952A47" w:rsidRDefault="004775BB" w:rsidP="001408A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למנהל עסק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E2F9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(2,081)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42420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(2,395)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A8D8E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(1,894)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67A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(5,219)</w:t>
            </w:r>
          </w:p>
        </w:tc>
      </w:tr>
      <w:tr w:rsidR="004775BB" w:rsidRPr="00952A47" w14:paraId="037D6B99" w14:textId="77777777" w:rsidTr="001408A3">
        <w:trPr>
          <w:trHeight w:val="33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5D3C2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4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14:paraId="4DDA7B7D" w14:textId="77777777" w:rsidR="004775BB" w:rsidRPr="00952A47" w:rsidRDefault="004775BB" w:rsidP="001408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סה''כ</w:t>
            </w:r>
            <w:proofErr w:type="spellEnd"/>
            <w:r w:rsidRPr="00952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לעסק שוטף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1C04EE4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2,244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99F618F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4,099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26E97E5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3,431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7C60A13" w14:textId="77777777" w:rsidR="004775BB" w:rsidRPr="00952A47" w:rsidRDefault="004775BB" w:rsidP="001408A3">
            <w:pPr>
              <w:bidi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2A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3,164 </w:t>
            </w:r>
          </w:p>
        </w:tc>
      </w:tr>
      <w:bookmarkEnd w:id="0"/>
    </w:tbl>
    <w:p w14:paraId="7D95873F" w14:textId="77777777" w:rsidR="004775BB" w:rsidRDefault="004775BB" w:rsidP="004775BB">
      <w:pPr>
        <w:spacing w:after="0" w:line="360" w:lineRule="auto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</w:p>
    <w:p w14:paraId="6C7284B4" w14:textId="77777777" w:rsidR="004775BB" w:rsidRDefault="004775BB" w:rsidP="004775BB">
      <w:pPr>
        <w:spacing w:after="0" w:line="360" w:lineRule="auto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</w:p>
    <w:p w14:paraId="0059E14F" w14:textId="77777777" w:rsidR="004775BB" w:rsidRDefault="004775BB" w:rsidP="004775BB">
      <w:pPr>
        <w:spacing w:after="0" w:line="360" w:lineRule="auto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</w:p>
    <w:p w14:paraId="1325472E" w14:textId="77777777" w:rsidR="004775BB" w:rsidRDefault="004775BB" w:rsidP="004775BB">
      <w:pPr>
        <w:spacing w:after="0" w:line="360" w:lineRule="auto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</w:p>
    <w:p w14:paraId="18285B06" w14:textId="77777777" w:rsidR="004775BB" w:rsidRPr="00D22716" w:rsidRDefault="004775BB" w:rsidP="004775BB">
      <w:pPr>
        <w:numPr>
          <w:ilvl w:val="3"/>
          <w:numId w:val="5"/>
        </w:numPr>
        <w:spacing w:after="0" w:line="360" w:lineRule="auto"/>
        <w:ind w:left="284" w:hanging="284"/>
        <w:contextualSpacing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2271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Security Matters</w:t>
      </w:r>
    </w:p>
    <w:p w14:paraId="5F38B692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סקירה של אד </w:t>
      </w:r>
      <w:proofErr w:type="spellStart"/>
      <w:r w:rsidRPr="00002D1C">
        <w:rPr>
          <w:rFonts w:ascii="Tahoma" w:eastAsia="Times New Roman" w:hAnsi="Tahoma" w:cs="Narkisim" w:hint="cs"/>
          <w:sz w:val="26"/>
          <w:szCs w:val="26"/>
          <w:rtl/>
        </w:rPr>
        <w:t>הופלנד</w:t>
      </w:r>
      <w:proofErr w:type="spellEnd"/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(קטורה)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/>
          <w:sz w:val="26"/>
          <w:szCs w:val="26"/>
          <w:rtl/>
        </w:rPr>
        <w:t>–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לאחר ההנפקה הנוספת</w:t>
      </w:r>
      <w:r>
        <w:rPr>
          <w:rFonts w:ascii="Tahoma" w:eastAsia="Times New Roman" w:hAnsi="Tahoma" w:cs="Narkisim" w:hint="cs"/>
          <w:sz w:val="26"/>
          <w:szCs w:val="26"/>
          <w:rtl/>
        </w:rPr>
        <w:t>,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 w:hint="cs"/>
          <w:sz w:val="26"/>
          <w:szCs w:val="26"/>
          <w:rtl/>
        </w:rPr>
        <w:t>ש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בה גויסו 6 מיליון $ אוסטרלי</w:t>
      </w:r>
      <w:r>
        <w:rPr>
          <w:rFonts w:ascii="Tahoma" w:eastAsia="Times New Roman" w:hAnsi="Tahoma" w:cs="Narkisim" w:hint="cs"/>
          <w:sz w:val="26"/>
          <w:szCs w:val="26"/>
          <w:rtl/>
        </w:rPr>
        <w:t>,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החברה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מצויה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לראשונה במצב פיננסי סביר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יש בקופה כסף שיספיק לשנה וחצי בפעילות המתוכננת (בהנחת מכירות של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600-500 אלף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$ אוסטרלי ב-2019 ו-1.5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מיליון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$ ב-2020). </w:t>
      </w:r>
    </w:p>
    <w:p w14:paraId="1DC0F6AF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cs"/>
          <w:sz w:val="26"/>
          <w:szCs w:val="26"/>
          <w:u w:val="single"/>
          <w:rtl/>
        </w:rPr>
        <w:t>הבקשה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: שני המשקים (דגניה וקטורה) יעבירו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100 אלף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$ אוסטרלי (</w:t>
      </w:r>
      <w:r>
        <w:rPr>
          <w:rFonts w:ascii="Tahoma" w:eastAsia="Times New Roman" w:hAnsi="Tahoma" w:cs="Narkisim" w:hint="cs"/>
          <w:sz w:val="26"/>
          <w:szCs w:val="26"/>
          <w:rtl/>
        </w:rPr>
        <w:t>215 אלף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₪) כל אחד לבנקאי ההשקעות לקנ</w:t>
      </w:r>
      <w:r>
        <w:rPr>
          <w:rFonts w:ascii="Tahoma" w:eastAsia="Times New Roman" w:hAnsi="Tahoma" w:cs="Narkisim" w:hint="cs"/>
          <w:sz w:val="26"/>
          <w:szCs w:val="26"/>
          <w:rtl/>
        </w:rPr>
        <w:t>י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יה ומכירה ע</w:t>
      </w:r>
      <w:r>
        <w:rPr>
          <w:rFonts w:ascii="Tahoma" w:eastAsia="Times New Roman" w:hAnsi="Tahoma" w:cs="Narkisim" w:hint="cs"/>
          <w:sz w:val="26"/>
          <w:szCs w:val="26"/>
          <w:rtl/>
        </w:rPr>
        <w:t>ל פ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י הנחיה ובהתאם לכללים ולחוק, למניעת תנודות במחיר המניה.</w:t>
      </w:r>
    </w:p>
    <w:p w14:paraId="0EC455FE" w14:textId="77777777" w:rsidR="004775BB" w:rsidRPr="00002D1C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>
        <w:rPr>
          <w:rFonts w:ascii="Tahoma" w:eastAsia="Times New Roman" w:hAnsi="Tahoma" w:cs="Narkisim" w:hint="cs"/>
          <w:sz w:val="26"/>
          <w:szCs w:val="26"/>
          <w:rtl/>
        </w:rPr>
        <w:t>לאחר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דיון רחב בהנהלה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 נערכה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הצבעה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.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חברי ההנהלה ת</w:t>
      </w:r>
      <w:r>
        <w:rPr>
          <w:rFonts w:ascii="Tahoma" w:eastAsia="Times New Roman" w:hAnsi="Tahoma" w:cs="Narkisim" w:hint="cs"/>
          <w:sz w:val="26"/>
          <w:szCs w:val="26"/>
          <w:rtl/>
        </w:rPr>
        <w:t>מכו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 </w:t>
      </w:r>
      <w:r>
        <w:rPr>
          <w:rFonts w:ascii="Tahoma" w:eastAsia="Times New Roman" w:hAnsi="Tahoma" w:cs="Narkisim" w:hint="cs"/>
          <w:sz w:val="26"/>
          <w:szCs w:val="26"/>
          <w:rtl/>
        </w:rPr>
        <w:t>ב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היענות לבקשה </w:t>
      </w:r>
      <w:r>
        <w:rPr>
          <w:rFonts w:ascii="Tahoma" w:eastAsia="Times New Roman" w:hAnsi="Tahoma" w:cs="Narkisim" w:hint="cs"/>
          <w:sz w:val="26"/>
          <w:szCs w:val="26"/>
          <w:rtl/>
        </w:rPr>
        <w:t>(מתנגד אחד).</w:t>
      </w:r>
    </w:p>
    <w:p w14:paraId="1D23B084" w14:textId="77777777" w:rsidR="004775BB" w:rsidRDefault="004775BB" w:rsidP="004775BB">
      <w:pPr>
        <w:spacing w:after="0" w:line="360" w:lineRule="auto"/>
        <w:ind w:left="284"/>
        <w:contextualSpacing/>
        <w:jc w:val="both"/>
        <w:rPr>
          <w:rFonts w:ascii="Tahoma" w:eastAsia="Times New Roman" w:hAnsi="Tahoma" w:cs="Narkisim"/>
          <w:sz w:val="26"/>
          <w:szCs w:val="26"/>
          <w:rtl/>
        </w:rPr>
      </w:pPr>
      <w:r w:rsidRPr="00002D1C">
        <w:rPr>
          <w:rFonts w:ascii="Tahoma" w:eastAsia="Times New Roman" w:hAnsi="Tahoma" w:cs="Narkisim" w:hint="eastAsia"/>
          <w:sz w:val="26"/>
          <w:szCs w:val="26"/>
          <w:u w:val="single"/>
          <w:rtl/>
        </w:rPr>
        <w:t>הוחלט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: מאשרים </w:t>
      </w:r>
      <w:r>
        <w:rPr>
          <w:rFonts w:ascii="Tahoma" w:eastAsia="Times New Roman" w:hAnsi="Tahoma" w:cs="Narkisim" w:hint="cs"/>
          <w:sz w:val="26"/>
          <w:szCs w:val="26"/>
          <w:rtl/>
        </w:rPr>
        <w:t xml:space="preserve">את 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 xml:space="preserve">ההשקעה </w:t>
      </w:r>
      <w:r>
        <w:rPr>
          <w:rFonts w:ascii="Tahoma" w:eastAsia="Times New Roman" w:hAnsi="Tahoma" w:cs="Narkisim" w:hint="cs"/>
          <w:sz w:val="26"/>
          <w:szCs w:val="26"/>
          <w:rtl/>
        </w:rPr>
        <w:t>ב</w:t>
      </w:r>
      <w:r w:rsidRPr="00002D1C">
        <w:rPr>
          <w:rFonts w:ascii="Tahoma" w:eastAsia="Times New Roman" w:hAnsi="Tahoma" w:cs="Narkisim" w:hint="cs"/>
          <w:sz w:val="26"/>
          <w:szCs w:val="26"/>
          <w:rtl/>
        </w:rPr>
        <w:t>כפוף להסכמה של קטורה. אם הם מתנגדים הנושא חוזר לדיון</w:t>
      </w:r>
      <w:r>
        <w:rPr>
          <w:rFonts w:ascii="Tahoma" w:eastAsia="Times New Roman" w:hAnsi="Tahoma" w:cs="Narkisim" w:hint="cs"/>
          <w:sz w:val="26"/>
          <w:szCs w:val="26"/>
          <w:rtl/>
        </w:rPr>
        <w:t>.</w:t>
      </w:r>
    </w:p>
    <w:p w14:paraId="7D37771D" w14:textId="77777777" w:rsidR="004775BB" w:rsidRDefault="004775BB" w:rsidP="004775BB">
      <w:pPr>
        <w:spacing w:after="0" w:line="360" w:lineRule="auto"/>
        <w:ind w:left="284"/>
        <w:contextualSpacing/>
        <w:jc w:val="both"/>
      </w:pPr>
      <w:r w:rsidRPr="00D22716">
        <w:rPr>
          <w:rFonts w:ascii="Tahoma" w:eastAsia="Times New Roman" w:hAnsi="Tahoma" w:cs="Narkisim" w:hint="cs"/>
          <w:sz w:val="26"/>
          <w:szCs w:val="26"/>
          <w:rtl/>
        </w:rPr>
        <w:t>בקטורה אישרו את ההשקעה.</w:t>
      </w:r>
      <w:r>
        <w:t xml:space="preserve"> </w:t>
      </w:r>
    </w:p>
    <w:p w14:paraId="2A104C17" w14:textId="77777777" w:rsidR="00A95F77" w:rsidRPr="003D3A57" w:rsidRDefault="00A95F77" w:rsidP="004775BB">
      <w:pPr>
        <w:spacing w:after="0" w:line="360" w:lineRule="auto"/>
        <w:jc w:val="both"/>
      </w:pPr>
    </w:p>
    <w:sectPr w:rsidR="00A95F77" w:rsidRPr="003D3A5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3D3A57"/>
    <w:rsid w:val="004775BB"/>
    <w:rsid w:val="00A37D41"/>
    <w:rsid w:val="00A95F77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2020-09-09T06:06:00Z</dcterms:created>
  <dcterms:modified xsi:type="dcterms:W3CDTF">2020-09-09T06:06:00Z</dcterms:modified>
</cp:coreProperties>
</file>